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FA" w:rsidRPr="004625FA" w:rsidRDefault="004625FA" w:rsidP="00A77CA9">
      <w:pPr>
        <w:spacing w:after="0"/>
        <w:rPr>
          <w:b/>
        </w:rPr>
      </w:pPr>
      <w:r w:rsidRPr="004625FA">
        <w:rPr>
          <w:b/>
          <w:sz w:val="28"/>
        </w:rPr>
        <w:t>La RGI NOS HACE MÁS RESISTENTES COMO COMUNIDAD</w:t>
      </w:r>
    </w:p>
    <w:p w:rsidR="004625FA" w:rsidRDefault="004625FA" w:rsidP="00A77CA9">
      <w:pPr>
        <w:spacing w:after="0"/>
      </w:pPr>
      <w:r>
        <w:t>María Silvestre Cabrera</w:t>
      </w:r>
    </w:p>
    <w:p w:rsidR="004625FA" w:rsidRDefault="004625FA" w:rsidP="00A77CA9">
      <w:pPr>
        <w:spacing w:after="0"/>
      </w:pPr>
      <w:r>
        <w:t>@_</w:t>
      </w:r>
      <w:proofErr w:type="spellStart"/>
      <w:r>
        <w:t>mariasilca</w:t>
      </w:r>
      <w:proofErr w:type="spellEnd"/>
    </w:p>
    <w:p w:rsidR="004625FA" w:rsidRDefault="004625FA" w:rsidP="00A77CA9">
      <w:pPr>
        <w:spacing w:after="0"/>
      </w:pPr>
    </w:p>
    <w:p w:rsidR="00605611" w:rsidRPr="00605611" w:rsidRDefault="00605611" w:rsidP="00A77CA9">
      <w:pPr>
        <w:spacing w:after="0"/>
        <w:rPr>
          <w:sz w:val="28"/>
          <w:szCs w:val="28"/>
        </w:rPr>
      </w:pPr>
      <w:r w:rsidRPr="00605611">
        <w:rPr>
          <w:sz w:val="28"/>
          <w:szCs w:val="28"/>
        </w:rPr>
        <w:t>¿Por qué Euskadi se ha revelada como una de las regiones más resistentes a la crisis económica?  ¿Por qué es una de las Comunidades menos vulnerable? ¿Tiene algo que ver la existencia de la RGI? ¿Habría podido Euskadi resistir a la crisis como lo ha hecho y sigue haciendo sin prestaciones como la RGI?</w:t>
      </w:r>
    </w:p>
    <w:p w:rsidR="00605611" w:rsidRPr="00605611" w:rsidRDefault="00605611" w:rsidP="00A77CA9">
      <w:pPr>
        <w:spacing w:after="0"/>
        <w:rPr>
          <w:sz w:val="28"/>
          <w:szCs w:val="28"/>
        </w:rPr>
      </w:pPr>
    </w:p>
    <w:p w:rsidR="00533DBB" w:rsidRPr="00605611" w:rsidRDefault="00533DBB" w:rsidP="00A77CA9">
      <w:pPr>
        <w:spacing w:after="0"/>
        <w:rPr>
          <w:rFonts w:cs="Arial"/>
          <w:color w:val="2A2A2A"/>
          <w:sz w:val="28"/>
          <w:szCs w:val="28"/>
          <w:shd w:val="clear" w:color="auto" w:fill="FFFFFF"/>
        </w:rPr>
      </w:pPr>
      <w:r w:rsidRPr="00605611">
        <w:rPr>
          <w:sz w:val="28"/>
          <w:szCs w:val="28"/>
        </w:rPr>
        <w:t xml:space="preserve">Un reciente estudio del CSIC </w:t>
      </w:r>
      <w:r w:rsidR="00605611" w:rsidRPr="00605611">
        <w:rPr>
          <w:sz w:val="28"/>
          <w:szCs w:val="28"/>
        </w:rPr>
        <w:t>(</w:t>
      </w:r>
      <w:r w:rsidR="00605611" w:rsidRPr="00605611">
        <w:rPr>
          <w:rFonts w:cs="Arial"/>
          <w:color w:val="2A2A2A"/>
          <w:sz w:val="28"/>
          <w:szCs w:val="28"/>
          <w:shd w:val="clear" w:color="auto" w:fill="FFFFFF"/>
        </w:rPr>
        <w:t xml:space="preserve">Méndez, Abad, </w:t>
      </w:r>
      <w:proofErr w:type="spellStart"/>
      <w:r w:rsidR="00605611" w:rsidRPr="00605611">
        <w:rPr>
          <w:rFonts w:cs="Arial"/>
          <w:color w:val="2A2A2A"/>
          <w:sz w:val="28"/>
          <w:szCs w:val="28"/>
          <w:shd w:val="clear" w:color="auto" w:fill="FFFFFF"/>
        </w:rPr>
        <w:t>Echaves</w:t>
      </w:r>
      <w:proofErr w:type="spellEnd"/>
      <w:r w:rsidR="00605611" w:rsidRPr="00605611">
        <w:rPr>
          <w:rFonts w:cs="Arial"/>
          <w:color w:val="2A2A2A"/>
          <w:sz w:val="28"/>
          <w:szCs w:val="28"/>
          <w:shd w:val="clear" w:color="auto" w:fill="FFFFFF"/>
        </w:rPr>
        <w:t>: 2015) señala que siete de los municipios más resis</w:t>
      </w:r>
      <w:r w:rsidR="004625FA">
        <w:rPr>
          <w:rFonts w:cs="Arial"/>
          <w:color w:val="2A2A2A"/>
          <w:sz w:val="28"/>
          <w:szCs w:val="28"/>
          <w:shd w:val="clear" w:color="auto" w:fill="FFFFFF"/>
        </w:rPr>
        <w:t>tentes a la crisis y, por tanto</w:t>
      </w:r>
      <w:r w:rsidR="00605611" w:rsidRPr="00605611">
        <w:rPr>
          <w:rFonts w:cs="Arial"/>
          <w:color w:val="2A2A2A"/>
          <w:sz w:val="28"/>
          <w:szCs w:val="28"/>
          <w:shd w:val="clear" w:color="auto" w:fill="FFFFFF"/>
        </w:rPr>
        <w:t>,</w:t>
      </w:r>
      <w:r w:rsidR="004625FA">
        <w:rPr>
          <w:rFonts w:cs="Arial"/>
          <w:color w:val="2A2A2A"/>
          <w:sz w:val="28"/>
          <w:szCs w:val="28"/>
          <w:shd w:val="clear" w:color="auto" w:fill="FFFFFF"/>
        </w:rPr>
        <w:t xml:space="preserve"> </w:t>
      </w:r>
      <w:r w:rsidR="00605611" w:rsidRPr="00605611">
        <w:rPr>
          <w:rFonts w:cs="Arial"/>
          <w:color w:val="2A2A2A"/>
          <w:sz w:val="28"/>
          <w:szCs w:val="28"/>
          <w:shd w:val="clear" w:color="auto" w:fill="FFFFFF"/>
        </w:rPr>
        <w:t xml:space="preserve">menos vulnerables, son vascos: </w:t>
      </w:r>
      <w:proofErr w:type="spellStart"/>
      <w:r w:rsidR="00605611" w:rsidRPr="00605611">
        <w:rPr>
          <w:rFonts w:cs="Arial"/>
          <w:color w:val="2A2A2A"/>
          <w:sz w:val="28"/>
          <w:szCs w:val="28"/>
          <w:shd w:val="clear" w:color="auto" w:fill="FFFFFF"/>
        </w:rPr>
        <w:t>Arrasate</w:t>
      </w:r>
      <w:proofErr w:type="spellEnd"/>
      <w:r w:rsidR="00605611" w:rsidRPr="00605611">
        <w:rPr>
          <w:rFonts w:cs="Arial"/>
          <w:color w:val="2A2A2A"/>
          <w:sz w:val="28"/>
          <w:szCs w:val="28"/>
          <w:shd w:val="clear" w:color="auto" w:fill="FFFFFF"/>
        </w:rPr>
        <w:t xml:space="preserve">-Mondragón, Portugalete, </w:t>
      </w:r>
      <w:proofErr w:type="spellStart"/>
      <w:r w:rsidR="00605611" w:rsidRPr="00605611">
        <w:rPr>
          <w:rFonts w:cs="Arial"/>
          <w:color w:val="2A2A2A"/>
          <w:sz w:val="28"/>
          <w:szCs w:val="28"/>
          <w:shd w:val="clear" w:color="auto" w:fill="FFFFFF"/>
        </w:rPr>
        <w:t>Barakaldo</w:t>
      </w:r>
      <w:proofErr w:type="spellEnd"/>
      <w:r w:rsidR="00605611" w:rsidRPr="00605611">
        <w:rPr>
          <w:rFonts w:cs="Arial"/>
          <w:color w:val="2A2A2A"/>
          <w:sz w:val="28"/>
          <w:szCs w:val="28"/>
          <w:shd w:val="clear" w:color="auto" w:fill="FFFFFF"/>
        </w:rPr>
        <w:t xml:space="preserve">, </w:t>
      </w:r>
      <w:proofErr w:type="spellStart"/>
      <w:r w:rsidR="00605611" w:rsidRPr="00605611">
        <w:rPr>
          <w:rFonts w:cs="Arial"/>
          <w:color w:val="2A2A2A"/>
          <w:sz w:val="28"/>
          <w:szCs w:val="28"/>
          <w:shd w:val="clear" w:color="auto" w:fill="FFFFFF"/>
        </w:rPr>
        <w:t>Santurtzi</w:t>
      </w:r>
      <w:proofErr w:type="spellEnd"/>
      <w:r w:rsidR="00605611" w:rsidRPr="00605611">
        <w:rPr>
          <w:rFonts w:cs="Arial"/>
          <w:color w:val="2A2A2A"/>
          <w:sz w:val="28"/>
          <w:szCs w:val="28"/>
          <w:shd w:val="clear" w:color="auto" w:fill="FFFFFF"/>
        </w:rPr>
        <w:t xml:space="preserve">, </w:t>
      </w:r>
      <w:proofErr w:type="spellStart"/>
      <w:r w:rsidR="00605611" w:rsidRPr="00605611">
        <w:rPr>
          <w:rFonts w:cs="Arial"/>
          <w:color w:val="2A2A2A"/>
          <w:sz w:val="28"/>
          <w:szCs w:val="28"/>
          <w:shd w:val="clear" w:color="auto" w:fill="FFFFFF"/>
        </w:rPr>
        <w:t>Getxo</w:t>
      </w:r>
      <w:proofErr w:type="spellEnd"/>
      <w:r w:rsidR="00605611" w:rsidRPr="00605611">
        <w:rPr>
          <w:rFonts w:cs="Arial"/>
          <w:color w:val="2A2A2A"/>
          <w:sz w:val="28"/>
          <w:szCs w:val="28"/>
          <w:shd w:val="clear" w:color="auto" w:fill="FFFFFF"/>
        </w:rPr>
        <w:t xml:space="preserve">, </w:t>
      </w:r>
      <w:proofErr w:type="spellStart"/>
      <w:r w:rsidR="00605611" w:rsidRPr="00605611">
        <w:rPr>
          <w:rFonts w:cs="Arial"/>
          <w:color w:val="2A2A2A"/>
          <w:sz w:val="28"/>
          <w:szCs w:val="28"/>
          <w:shd w:val="clear" w:color="auto" w:fill="FFFFFF"/>
        </w:rPr>
        <w:t>Erandio</w:t>
      </w:r>
      <w:proofErr w:type="spellEnd"/>
      <w:r w:rsidR="00605611" w:rsidRPr="00605611">
        <w:rPr>
          <w:rFonts w:cs="Arial"/>
          <w:color w:val="2A2A2A"/>
          <w:sz w:val="28"/>
          <w:szCs w:val="28"/>
          <w:shd w:val="clear" w:color="auto" w:fill="FFFFFF"/>
        </w:rPr>
        <w:t xml:space="preserve">, </w:t>
      </w:r>
      <w:proofErr w:type="spellStart"/>
      <w:r w:rsidR="00605611" w:rsidRPr="00605611">
        <w:rPr>
          <w:rFonts w:cs="Arial"/>
          <w:color w:val="2A2A2A"/>
          <w:sz w:val="28"/>
          <w:szCs w:val="28"/>
          <w:shd w:val="clear" w:color="auto" w:fill="FFFFFF"/>
        </w:rPr>
        <w:t>Eibar</w:t>
      </w:r>
      <w:proofErr w:type="spellEnd"/>
      <w:r w:rsidR="00605611" w:rsidRPr="00605611">
        <w:rPr>
          <w:rFonts w:cs="Arial"/>
          <w:color w:val="2A2A2A"/>
          <w:sz w:val="28"/>
          <w:szCs w:val="28"/>
          <w:shd w:val="clear" w:color="auto" w:fill="FFFFFF"/>
        </w:rPr>
        <w:t xml:space="preserve"> y San Sebastián. </w:t>
      </w:r>
    </w:p>
    <w:p w:rsidR="00605611" w:rsidRDefault="00605611" w:rsidP="00A77CA9">
      <w:pPr>
        <w:spacing w:after="0"/>
        <w:rPr>
          <w:rFonts w:cs="Arial"/>
          <w:color w:val="2A2A2A"/>
          <w:sz w:val="28"/>
          <w:szCs w:val="28"/>
          <w:shd w:val="clear" w:color="auto" w:fill="FFFFFF"/>
        </w:rPr>
      </w:pPr>
    </w:p>
    <w:p w:rsidR="008126C3" w:rsidRPr="00605611" w:rsidRDefault="008126C3" w:rsidP="00A77CA9">
      <w:pPr>
        <w:spacing w:after="0"/>
        <w:rPr>
          <w:rFonts w:cs="Arial"/>
          <w:color w:val="2A2A2A"/>
          <w:sz w:val="28"/>
          <w:szCs w:val="28"/>
          <w:shd w:val="clear" w:color="auto" w:fill="FFFFFF"/>
        </w:rPr>
      </w:pPr>
      <w:r>
        <w:rPr>
          <w:rFonts w:cs="Arial"/>
          <w:color w:val="2A2A2A"/>
          <w:sz w:val="28"/>
          <w:szCs w:val="28"/>
          <w:shd w:val="clear" w:color="auto" w:fill="FFFFFF"/>
        </w:rPr>
        <w:t xml:space="preserve">Para realizar la clasificación los investigadores han utilizado tres definiciones de vulnerabilidad: </w:t>
      </w:r>
    </w:p>
    <w:p w:rsidR="008126C3" w:rsidRDefault="008126C3" w:rsidP="00A77CA9">
      <w:pPr>
        <w:spacing w:after="0"/>
        <w:rPr>
          <w:rFonts w:cs="Arial"/>
          <w:color w:val="2A2A2A"/>
          <w:sz w:val="28"/>
          <w:szCs w:val="28"/>
          <w:shd w:val="clear" w:color="auto" w:fill="FFFFFF"/>
        </w:rPr>
      </w:pPr>
    </w:p>
    <w:p w:rsidR="00605611" w:rsidRPr="00B57F48" w:rsidRDefault="00605611" w:rsidP="00A77CA9">
      <w:pPr>
        <w:spacing w:after="0"/>
        <w:rPr>
          <w:rFonts w:cs="Arial"/>
          <w:color w:val="2A2A2A"/>
          <w:sz w:val="24"/>
          <w:szCs w:val="28"/>
          <w:shd w:val="clear" w:color="auto" w:fill="FFFFFF"/>
        </w:rPr>
      </w:pPr>
      <w:r w:rsidRPr="00B57F48">
        <w:rPr>
          <w:rFonts w:cs="Arial"/>
          <w:color w:val="2A2A2A"/>
          <w:sz w:val="24"/>
          <w:szCs w:val="28"/>
          <w:shd w:val="clear" w:color="auto" w:fill="FFFFFF"/>
        </w:rPr>
        <w:t xml:space="preserve">Vulnerabilidad inmobiliaria: </w:t>
      </w:r>
      <w:r w:rsidR="008126C3" w:rsidRPr="00B57F48">
        <w:rPr>
          <w:rFonts w:cs="Arial"/>
          <w:color w:val="2A2A2A"/>
          <w:sz w:val="24"/>
          <w:szCs w:val="28"/>
          <w:shd w:val="clear" w:color="auto" w:fill="FFFFFF"/>
        </w:rPr>
        <w:t>Cálculo b</w:t>
      </w:r>
      <w:r w:rsidRPr="00B57F48">
        <w:rPr>
          <w:rFonts w:cs="Arial"/>
          <w:color w:val="2A2A2A"/>
          <w:sz w:val="24"/>
          <w:szCs w:val="28"/>
          <w:shd w:val="clear" w:color="auto" w:fill="FFFFFF"/>
        </w:rPr>
        <w:t>asado en las hipotecas constituidas, las viviendas libres terminadas, las transacciones de viviendas, el precio medio de vivienda libre, las ejecuciones hipotecarias.</w:t>
      </w:r>
    </w:p>
    <w:p w:rsidR="00605611" w:rsidRPr="00B57F48" w:rsidRDefault="00605611" w:rsidP="00A77CA9">
      <w:pPr>
        <w:spacing w:after="0"/>
        <w:rPr>
          <w:rFonts w:cs="Arial"/>
          <w:color w:val="2A2A2A"/>
          <w:sz w:val="24"/>
          <w:szCs w:val="28"/>
          <w:shd w:val="clear" w:color="auto" w:fill="FFFFFF"/>
        </w:rPr>
      </w:pPr>
    </w:p>
    <w:p w:rsidR="00605611" w:rsidRPr="00B57F48" w:rsidRDefault="00605611" w:rsidP="00A77CA9">
      <w:pPr>
        <w:spacing w:after="0"/>
        <w:rPr>
          <w:rFonts w:cs="Arial"/>
          <w:color w:val="2A2A2A"/>
          <w:sz w:val="24"/>
          <w:szCs w:val="28"/>
          <w:shd w:val="clear" w:color="auto" w:fill="FFFFFF"/>
        </w:rPr>
      </w:pPr>
      <w:r w:rsidRPr="00B57F48">
        <w:rPr>
          <w:rFonts w:cs="Arial"/>
          <w:color w:val="2A2A2A"/>
          <w:sz w:val="24"/>
          <w:szCs w:val="28"/>
          <w:shd w:val="clear" w:color="auto" w:fill="FFFFFF"/>
        </w:rPr>
        <w:t xml:space="preserve">Vulnerabilidad económica: </w:t>
      </w:r>
      <w:r w:rsidR="008126C3" w:rsidRPr="00B57F48">
        <w:rPr>
          <w:rFonts w:cs="Arial"/>
          <w:color w:val="2A2A2A"/>
          <w:sz w:val="24"/>
          <w:szCs w:val="28"/>
          <w:shd w:val="clear" w:color="auto" w:fill="FFFFFF"/>
        </w:rPr>
        <w:t>Cálculo b</w:t>
      </w:r>
      <w:r w:rsidRPr="00B57F48">
        <w:rPr>
          <w:rFonts w:cs="Arial"/>
          <w:color w:val="2A2A2A"/>
          <w:sz w:val="24"/>
          <w:szCs w:val="28"/>
          <w:shd w:val="clear" w:color="auto" w:fill="FFFFFF"/>
        </w:rPr>
        <w:t>asado en el número de empresas, el PIB por habitante, la ocupación, el paro registrado, las exportaciones.</w:t>
      </w:r>
    </w:p>
    <w:p w:rsidR="00605611" w:rsidRPr="00B57F48" w:rsidRDefault="00605611" w:rsidP="00A77CA9">
      <w:pPr>
        <w:spacing w:after="0"/>
        <w:rPr>
          <w:rFonts w:cs="Arial"/>
          <w:color w:val="2A2A2A"/>
          <w:sz w:val="24"/>
          <w:szCs w:val="28"/>
          <w:shd w:val="clear" w:color="auto" w:fill="FFFFFF"/>
        </w:rPr>
      </w:pPr>
    </w:p>
    <w:p w:rsidR="00605611" w:rsidRPr="00B57F48" w:rsidRDefault="008126C3" w:rsidP="00A77CA9">
      <w:pPr>
        <w:spacing w:after="0"/>
        <w:rPr>
          <w:rFonts w:cs="Arial"/>
          <w:color w:val="2A2A2A"/>
          <w:sz w:val="24"/>
          <w:szCs w:val="28"/>
          <w:shd w:val="clear" w:color="auto" w:fill="FFFFFF"/>
        </w:rPr>
      </w:pPr>
      <w:r w:rsidRPr="004625FA">
        <w:rPr>
          <w:rFonts w:cs="Arial"/>
          <w:b/>
          <w:color w:val="2A2A2A"/>
          <w:sz w:val="24"/>
          <w:szCs w:val="28"/>
          <w:shd w:val="clear" w:color="auto" w:fill="FFFFFF"/>
        </w:rPr>
        <w:t>Vulnerabilidad social:</w:t>
      </w:r>
      <w:r w:rsidRPr="00B57F48">
        <w:rPr>
          <w:rFonts w:cs="Arial"/>
          <w:color w:val="2A2A2A"/>
          <w:sz w:val="24"/>
          <w:szCs w:val="28"/>
          <w:shd w:val="clear" w:color="auto" w:fill="FFFFFF"/>
        </w:rPr>
        <w:t xml:space="preserve"> Cálculo basado en</w:t>
      </w:r>
      <w:r w:rsidR="00605611" w:rsidRPr="00B57F48">
        <w:rPr>
          <w:rFonts w:cs="Arial"/>
          <w:color w:val="2A2A2A"/>
          <w:sz w:val="24"/>
          <w:szCs w:val="28"/>
          <w:shd w:val="clear" w:color="auto" w:fill="FFFFFF"/>
        </w:rPr>
        <w:t xml:space="preserve"> la inmigración, la variación residencial, </w:t>
      </w:r>
      <w:r w:rsidR="00605611" w:rsidRPr="00B57F48">
        <w:rPr>
          <w:rFonts w:cs="Arial"/>
          <w:b/>
          <w:color w:val="2A2A2A"/>
          <w:sz w:val="24"/>
          <w:szCs w:val="28"/>
          <w:shd w:val="clear" w:color="auto" w:fill="FFFFFF"/>
        </w:rPr>
        <w:t>los beneficiarios de prestaciones</w:t>
      </w:r>
      <w:r w:rsidR="00605611" w:rsidRPr="00B57F48">
        <w:rPr>
          <w:rFonts w:cs="Arial"/>
          <w:color w:val="2A2A2A"/>
          <w:sz w:val="24"/>
          <w:szCs w:val="28"/>
          <w:shd w:val="clear" w:color="auto" w:fill="FFFFFF"/>
        </w:rPr>
        <w:t>, la emancipación de jóvenes y el número de manifestaciones.</w:t>
      </w:r>
    </w:p>
    <w:p w:rsidR="00605611" w:rsidRDefault="00605611" w:rsidP="00A77CA9">
      <w:pPr>
        <w:spacing w:after="0"/>
        <w:rPr>
          <w:rFonts w:cs="Arial"/>
          <w:color w:val="2A2A2A"/>
          <w:sz w:val="28"/>
          <w:szCs w:val="28"/>
          <w:shd w:val="clear" w:color="auto" w:fill="FFFFFF"/>
        </w:rPr>
      </w:pPr>
    </w:p>
    <w:p w:rsidR="00605611" w:rsidRDefault="008126C3" w:rsidP="00A77CA9">
      <w:pPr>
        <w:spacing w:after="0"/>
        <w:rPr>
          <w:rFonts w:cs="Arial"/>
          <w:color w:val="2A2A2A"/>
          <w:sz w:val="28"/>
          <w:szCs w:val="28"/>
          <w:shd w:val="clear" w:color="auto" w:fill="FFFFFF"/>
        </w:rPr>
      </w:pPr>
      <w:r>
        <w:rPr>
          <w:rFonts w:cs="Arial"/>
          <w:color w:val="2A2A2A"/>
          <w:sz w:val="28"/>
          <w:szCs w:val="28"/>
          <w:shd w:val="clear" w:color="auto" w:fill="FFFFFF"/>
        </w:rPr>
        <w:t xml:space="preserve">Si nos fijamos en las tasas de desempleo de municipios como Portugalete, </w:t>
      </w:r>
      <w:proofErr w:type="spellStart"/>
      <w:r>
        <w:rPr>
          <w:rFonts w:cs="Arial"/>
          <w:color w:val="2A2A2A"/>
          <w:sz w:val="28"/>
          <w:szCs w:val="28"/>
          <w:shd w:val="clear" w:color="auto" w:fill="FFFFFF"/>
        </w:rPr>
        <w:t>Barakaldo</w:t>
      </w:r>
      <w:proofErr w:type="spellEnd"/>
      <w:r>
        <w:rPr>
          <w:rFonts w:cs="Arial"/>
          <w:color w:val="2A2A2A"/>
          <w:sz w:val="28"/>
          <w:szCs w:val="28"/>
          <w:shd w:val="clear" w:color="auto" w:fill="FFFFFF"/>
        </w:rPr>
        <w:t xml:space="preserve"> o </w:t>
      </w:r>
      <w:proofErr w:type="spellStart"/>
      <w:r>
        <w:rPr>
          <w:rFonts w:cs="Arial"/>
          <w:color w:val="2A2A2A"/>
          <w:sz w:val="28"/>
          <w:szCs w:val="28"/>
          <w:shd w:val="clear" w:color="auto" w:fill="FFFFFF"/>
        </w:rPr>
        <w:t>Santurtzi</w:t>
      </w:r>
      <w:proofErr w:type="spellEnd"/>
      <w:r>
        <w:rPr>
          <w:rFonts w:cs="Arial"/>
          <w:color w:val="2A2A2A"/>
          <w:sz w:val="28"/>
          <w:szCs w:val="28"/>
          <w:shd w:val="clear" w:color="auto" w:fill="FFFFFF"/>
        </w:rPr>
        <w:t>, tres de los municipios más resistentes, observamos que sufren algunas de las tasas de paro más altas de la Comunidad, sobre todo, si analizamos la situación de desemple</w:t>
      </w:r>
      <w:r w:rsidR="00E43274">
        <w:rPr>
          <w:rFonts w:cs="Arial"/>
          <w:color w:val="2A2A2A"/>
          <w:sz w:val="28"/>
          <w:szCs w:val="28"/>
          <w:shd w:val="clear" w:color="auto" w:fill="FFFFFF"/>
        </w:rPr>
        <w:t xml:space="preserve">o entre la población más joven, entre la población mayor de 45 años y la tasa de personas desempleadas de larga duración. Según datos del </w:t>
      </w:r>
      <w:proofErr w:type="spellStart"/>
      <w:r w:rsidR="00E43274">
        <w:rPr>
          <w:rFonts w:cs="Arial"/>
          <w:color w:val="2A2A2A"/>
          <w:sz w:val="28"/>
          <w:szCs w:val="28"/>
          <w:shd w:val="clear" w:color="auto" w:fill="FFFFFF"/>
        </w:rPr>
        <w:t>Eustat</w:t>
      </w:r>
      <w:proofErr w:type="spellEnd"/>
      <w:r w:rsidR="00E43274">
        <w:rPr>
          <w:rFonts w:cs="Arial"/>
          <w:color w:val="2A2A2A"/>
          <w:sz w:val="28"/>
          <w:szCs w:val="28"/>
          <w:shd w:val="clear" w:color="auto" w:fill="FFFFFF"/>
        </w:rPr>
        <w:t xml:space="preserve"> la tasa </w:t>
      </w:r>
      <w:r w:rsidR="001F7794">
        <w:rPr>
          <w:rFonts w:cs="Arial"/>
          <w:color w:val="2A2A2A"/>
          <w:sz w:val="28"/>
          <w:szCs w:val="28"/>
          <w:shd w:val="clear" w:color="auto" w:fill="FFFFFF"/>
        </w:rPr>
        <w:t xml:space="preserve">de </w:t>
      </w:r>
      <w:r w:rsidR="00E43274">
        <w:rPr>
          <w:rFonts w:cs="Arial"/>
          <w:color w:val="2A2A2A"/>
          <w:sz w:val="28"/>
          <w:szCs w:val="28"/>
          <w:shd w:val="clear" w:color="auto" w:fill="FFFFFF"/>
        </w:rPr>
        <w:t xml:space="preserve">población parada registrada en </w:t>
      </w:r>
      <w:proofErr w:type="spellStart"/>
      <w:r w:rsidR="00E43274">
        <w:rPr>
          <w:rFonts w:cs="Arial"/>
          <w:color w:val="2A2A2A"/>
          <w:sz w:val="28"/>
          <w:szCs w:val="28"/>
          <w:shd w:val="clear" w:color="auto" w:fill="FFFFFF"/>
        </w:rPr>
        <w:t>Lanbide</w:t>
      </w:r>
      <w:proofErr w:type="spellEnd"/>
      <w:r w:rsidR="00E43274">
        <w:rPr>
          <w:rFonts w:cs="Arial"/>
          <w:color w:val="2A2A2A"/>
          <w:sz w:val="28"/>
          <w:szCs w:val="28"/>
          <w:shd w:val="clear" w:color="auto" w:fill="FFFFFF"/>
        </w:rPr>
        <w:t xml:space="preserve"> de estos tres municipios rondaba el 14% en 2014 (</w:t>
      </w:r>
      <w:proofErr w:type="spellStart"/>
      <w:r w:rsidR="00E43274">
        <w:rPr>
          <w:rFonts w:cs="Arial"/>
          <w:color w:val="2A2A2A"/>
          <w:sz w:val="28"/>
          <w:szCs w:val="28"/>
          <w:shd w:val="clear" w:color="auto" w:fill="FFFFFF"/>
        </w:rPr>
        <w:t>Eustat</w:t>
      </w:r>
      <w:proofErr w:type="spellEnd"/>
      <w:r w:rsidR="00E43274">
        <w:rPr>
          <w:rFonts w:cs="Arial"/>
          <w:color w:val="2A2A2A"/>
          <w:sz w:val="28"/>
          <w:szCs w:val="28"/>
          <w:shd w:val="clear" w:color="auto" w:fill="FFFFFF"/>
        </w:rPr>
        <w:t xml:space="preserve">: 2015). Extraña, por tanto, que unos municipios en </w:t>
      </w:r>
      <w:r w:rsidR="00E43274">
        <w:rPr>
          <w:rFonts w:cs="Arial"/>
          <w:color w:val="2A2A2A"/>
          <w:sz w:val="28"/>
          <w:szCs w:val="28"/>
          <w:shd w:val="clear" w:color="auto" w:fill="FFFFFF"/>
        </w:rPr>
        <w:lastRenderedPageBreak/>
        <w:t xml:space="preserve">los que nos consta que la crisis ha azotado con fuerza, se revelen como municipios resistentes. </w:t>
      </w:r>
    </w:p>
    <w:p w:rsidR="00E43274" w:rsidRDefault="00E43274" w:rsidP="00A77CA9">
      <w:pPr>
        <w:spacing w:after="0"/>
        <w:rPr>
          <w:rFonts w:cs="Arial"/>
          <w:color w:val="2A2A2A"/>
          <w:sz w:val="28"/>
          <w:szCs w:val="28"/>
          <w:shd w:val="clear" w:color="auto" w:fill="FFFFFF"/>
        </w:rPr>
      </w:pPr>
    </w:p>
    <w:p w:rsidR="00FF1DC5" w:rsidRDefault="00FF1DC5" w:rsidP="00A77CA9">
      <w:pPr>
        <w:spacing w:after="0"/>
        <w:rPr>
          <w:rFonts w:cs="Arial"/>
          <w:color w:val="2A2A2A"/>
          <w:sz w:val="28"/>
          <w:szCs w:val="28"/>
          <w:shd w:val="clear" w:color="auto" w:fill="FFFFFF"/>
        </w:rPr>
      </w:pPr>
      <w:r>
        <w:rPr>
          <w:rFonts w:cs="Arial"/>
          <w:color w:val="2A2A2A"/>
          <w:sz w:val="28"/>
          <w:szCs w:val="28"/>
          <w:shd w:val="clear" w:color="auto" w:fill="FFFFFF"/>
        </w:rPr>
        <w:t>El</w:t>
      </w:r>
      <w:r w:rsidR="00E43274">
        <w:rPr>
          <w:rFonts w:cs="Arial"/>
          <w:color w:val="2A2A2A"/>
          <w:sz w:val="28"/>
          <w:szCs w:val="28"/>
          <w:shd w:val="clear" w:color="auto" w:fill="FFFFFF"/>
        </w:rPr>
        <w:t xml:space="preserve"> hecho de que la definición de la “vulnerabilidad social” incluya </w:t>
      </w:r>
      <w:r>
        <w:rPr>
          <w:rFonts w:cs="Arial"/>
          <w:color w:val="2A2A2A"/>
          <w:sz w:val="28"/>
          <w:szCs w:val="28"/>
          <w:shd w:val="clear" w:color="auto" w:fill="FFFFFF"/>
        </w:rPr>
        <w:t xml:space="preserve">a </w:t>
      </w:r>
      <w:r w:rsidR="00E43274">
        <w:rPr>
          <w:rFonts w:cs="Arial"/>
          <w:color w:val="2A2A2A"/>
          <w:sz w:val="28"/>
          <w:szCs w:val="28"/>
          <w:shd w:val="clear" w:color="auto" w:fill="FFFFFF"/>
        </w:rPr>
        <w:t>las personas beneficiarias de prestaciones</w:t>
      </w:r>
      <w:r>
        <w:rPr>
          <w:rFonts w:cs="Arial"/>
          <w:color w:val="2A2A2A"/>
          <w:sz w:val="28"/>
          <w:szCs w:val="28"/>
          <w:shd w:val="clear" w:color="auto" w:fill="FFFFFF"/>
        </w:rPr>
        <w:t xml:space="preserve"> presupone la asunción de que un sector público fuerte que invierte parte de su gasto social en la provisión de ayuda a las personas en riesgo de exclusión genera modelos más resistentes a la crisis y a la desigualdad social, lo que podríamos verificar atendiendo a los municipios que puntúan más bajos en el </w:t>
      </w:r>
      <w:proofErr w:type="spellStart"/>
      <w:r>
        <w:rPr>
          <w:rFonts w:cs="Arial"/>
          <w:color w:val="2A2A2A"/>
          <w:sz w:val="28"/>
          <w:szCs w:val="28"/>
          <w:shd w:val="clear" w:color="auto" w:fill="FFFFFF"/>
        </w:rPr>
        <w:t>ránking</w:t>
      </w:r>
      <w:proofErr w:type="spellEnd"/>
      <w:r>
        <w:rPr>
          <w:rFonts w:cs="Arial"/>
          <w:color w:val="2A2A2A"/>
          <w:sz w:val="28"/>
          <w:szCs w:val="28"/>
          <w:shd w:val="clear" w:color="auto" w:fill="FFFFFF"/>
        </w:rPr>
        <w:t xml:space="preserve"> de vulnerabilidad social. En suma, podemos afirmar que la existencia de un sistema de garantía de ingresos mínimos favorece la cohesión social y permite resistir a los embates de la crisis económica.</w:t>
      </w:r>
    </w:p>
    <w:p w:rsidR="00FF1DC5" w:rsidRDefault="00FF1DC5" w:rsidP="00A77CA9">
      <w:pPr>
        <w:spacing w:after="0"/>
        <w:rPr>
          <w:rFonts w:cs="Arial"/>
          <w:color w:val="2A2A2A"/>
          <w:sz w:val="28"/>
          <w:szCs w:val="28"/>
          <w:shd w:val="clear" w:color="auto" w:fill="FFFFFF"/>
        </w:rPr>
      </w:pPr>
    </w:p>
    <w:p w:rsidR="00FF1DC5" w:rsidRDefault="00FF1DC5" w:rsidP="00A77CA9">
      <w:pPr>
        <w:spacing w:after="0"/>
        <w:rPr>
          <w:rFonts w:cs="Arial"/>
          <w:color w:val="2A2A2A"/>
          <w:sz w:val="28"/>
          <w:szCs w:val="28"/>
          <w:shd w:val="clear" w:color="auto" w:fill="FFFFFF"/>
        </w:rPr>
      </w:pPr>
      <w:r>
        <w:rPr>
          <w:rFonts w:cs="Arial"/>
          <w:color w:val="2A2A2A"/>
          <w:sz w:val="28"/>
          <w:szCs w:val="28"/>
          <w:shd w:val="clear" w:color="auto" w:fill="FFFFFF"/>
        </w:rPr>
        <w:t xml:space="preserve">La RGI no solo es una prestación que genera cohesión social, se trata de una prestación que permite vivir con dignidad a muchos colectivos que, de otra manera, correrían un serio riesgo de caer en la pobreza o en la exclusión: mujeres viudas sin </w:t>
      </w:r>
      <w:r w:rsidR="004625FA">
        <w:rPr>
          <w:rFonts w:cs="Arial"/>
          <w:color w:val="2A2A2A"/>
          <w:sz w:val="28"/>
          <w:szCs w:val="28"/>
          <w:shd w:val="clear" w:color="auto" w:fill="FFFFFF"/>
        </w:rPr>
        <w:t xml:space="preserve">una </w:t>
      </w:r>
      <w:r>
        <w:rPr>
          <w:rFonts w:cs="Arial"/>
          <w:color w:val="2A2A2A"/>
          <w:sz w:val="28"/>
          <w:szCs w:val="28"/>
          <w:shd w:val="clear" w:color="auto" w:fill="FFFFFF"/>
        </w:rPr>
        <w:t>vida laboral contributiva</w:t>
      </w:r>
      <w:r w:rsidR="004625FA">
        <w:rPr>
          <w:rFonts w:cs="Arial"/>
          <w:color w:val="2A2A2A"/>
          <w:sz w:val="28"/>
          <w:szCs w:val="28"/>
          <w:shd w:val="clear" w:color="auto" w:fill="FFFFFF"/>
        </w:rPr>
        <w:t xml:space="preserve"> previa</w:t>
      </w:r>
      <w:r>
        <w:rPr>
          <w:rFonts w:cs="Arial"/>
          <w:color w:val="2A2A2A"/>
          <w:sz w:val="28"/>
          <w:szCs w:val="28"/>
          <w:shd w:val="clear" w:color="auto" w:fill="FFFFFF"/>
        </w:rPr>
        <w:t xml:space="preserve">, familias </w:t>
      </w:r>
      <w:proofErr w:type="spellStart"/>
      <w:r>
        <w:rPr>
          <w:rFonts w:cs="Arial"/>
          <w:color w:val="2A2A2A"/>
          <w:sz w:val="28"/>
          <w:szCs w:val="28"/>
          <w:shd w:val="clear" w:color="auto" w:fill="FFFFFF"/>
        </w:rPr>
        <w:t>monomarentales</w:t>
      </w:r>
      <w:proofErr w:type="spellEnd"/>
      <w:r>
        <w:rPr>
          <w:rFonts w:cs="Arial"/>
          <w:color w:val="2A2A2A"/>
          <w:sz w:val="28"/>
          <w:szCs w:val="28"/>
          <w:shd w:val="clear" w:color="auto" w:fill="FFFFFF"/>
        </w:rPr>
        <w:t xml:space="preserve">, personas cuyos ingresos por empleo nos les permite sobrevivir, etc. </w:t>
      </w:r>
    </w:p>
    <w:p w:rsidR="004625FA" w:rsidRDefault="004625FA" w:rsidP="00A77CA9">
      <w:pPr>
        <w:spacing w:after="0"/>
        <w:rPr>
          <w:rFonts w:cs="Arial"/>
          <w:color w:val="2A2A2A"/>
          <w:sz w:val="28"/>
          <w:szCs w:val="28"/>
          <w:shd w:val="clear" w:color="auto" w:fill="FFFFFF"/>
        </w:rPr>
      </w:pPr>
    </w:p>
    <w:p w:rsidR="004625FA" w:rsidRDefault="005017D8" w:rsidP="00A77CA9">
      <w:pPr>
        <w:spacing w:after="0"/>
        <w:rPr>
          <w:rFonts w:cs="Arial"/>
          <w:color w:val="2A2A2A"/>
          <w:sz w:val="28"/>
          <w:szCs w:val="28"/>
          <w:shd w:val="clear" w:color="auto" w:fill="FFFFFF"/>
        </w:rPr>
      </w:pPr>
      <w:r>
        <w:rPr>
          <w:rFonts w:cs="Arial"/>
          <w:color w:val="2A2A2A"/>
          <w:sz w:val="28"/>
          <w:szCs w:val="28"/>
          <w:shd w:val="clear" w:color="auto" w:fill="FFFFFF"/>
        </w:rPr>
        <w:t>Me atrevo a aventurar que l</w:t>
      </w:r>
      <w:r w:rsidR="004625FA">
        <w:rPr>
          <w:rFonts w:cs="Arial"/>
          <w:color w:val="2A2A2A"/>
          <w:sz w:val="28"/>
          <w:szCs w:val="28"/>
          <w:shd w:val="clear" w:color="auto" w:fill="FFFFFF"/>
        </w:rPr>
        <w:t>os resultados del informe del CSIC habrían sido muy distintos de no haber existido la RGI</w:t>
      </w:r>
      <w:r>
        <w:rPr>
          <w:rFonts w:cs="Arial"/>
          <w:color w:val="2A2A2A"/>
          <w:sz w:val="28"/>
          <w:szCs w:val="28"/>
          <w:shd w:val="clear" w:color="auto" w:fill="FFFFFF"/>
        </w:rPr>
        <w:t xml:space="preserve"> en la CAE</w:t>
      </w:r>
      <w:r w:rsidR="004625FA">
        <w:rPr>
          <w:rFonts w:cs="Arial"/>
          <w:color w:val="2A2A2A"/>
          <w:sz w:val="28"/>
          <w:szCs w:val="28"/>
          <w:shd w:val="clear" w:color="auto" w:fill="FFFFFF"/>
        </w:rPr>
        <w:t xml:space="preserve">, de no haber existido un modelo de prestación que prevé la cobertura de ingresos mínimos </w:t>
      </w:r>
      <w:r w:rsidR="00246B35">
        <w:rPr>
          <w:rFonts w:cs="Arial"/>
          <w:color w:val="2A2A2A"/>
          <w:sz w:val="28"/>
          <w:szCs w:val="28"/>
          <w:shd w:val="clear" w:color="auto" w:fill="FFFFFF"/>
        </w:rPr>
        <w:t>y</w:t>
      </w:r>
      <w:r w:rsidR="004625FA">
        <w:rPr>
          <w:rFonts w:cs="Arial"/>
          <w:color w:val="2A2A2A"/>
          <w:sz w:val="28"/>
          <w:szCs w:val="28"/>
          <w:shd w:val="clear" w:color="auto" w:fill="FFFFFF"/>
        </w:rPr>
        <w:t xml:space="preserve"> que vela por </w:t>
      </w:r>
      <w:r w:rsidR="00246B35">
        <w:rPr>
          <w:rFonts w:cs="Arial"/>
          <w:color w:val="2A2A2A"/>
          <w:sz w:val="28"/>
          <w:szCs w:val="28"/>
          <w:shd w:val="clear" w:color="auto" w:fill="FFFFFF"/>
        </w:rPr>
        <w:t>la dignidad de las personas, de todas las personas que se encuentren en situación de necesidad</w:t>
      </w:r>
      <w:r w:rsidR="004625FA">
        <w:rPr>
          <w:rFonts w:cs="Arial"/>
          <w:color w:val="2A2A2A"/>
          <w:sz w:val="28"/>
          <w:szCs w:val="28"/>
          <w:shd w:val="clear" w:color="auto" w:fill="FFFFFF"/>
        </w:rPr>
        <w:t xml:space="preserve">. </w:t>
      </w:r>
    </w:p>
    <w:p w:rsidR="00246B35" w:rsidRDefault="00246B35" w:rsidP="00A77CA9">
      <w:pPr>
        <w:spacing w:after="0"/>
        <w:rPr>
          <w:rFonts w:cs="Arial"/>
          <w:color w:val="2A2A2A"/>
          <w:sz w:val="28"/>
          <w:szCs w:val="28"/>
          <w:shd w:val="clear" w:color="auto" w:fill="FFFFFF"/>
        </w:rPr>
      </w:pPr>
    </w:p>
    <w:p w:rsidR="00246B35" w:rsidRDefault="00246B35" w:rsidP="00A77CA9">
      <w:pPr>
        <w:spacing w:after="0"/>
        <w:rPr>
          <w:rFonts w:cs="Arial"/>
          <w:color w:val="2A2A2A"/>
          <w:sz w:val="28"/>
          <w:szCs w:val="28"/>
          <w:shd w:val="clear" w:color="auto" w:fill="FFFFFF"/>
        </w:rPr>
      </w:pPr>
      <w:r>
        <w:rPr>
          <w:rFonts w:cs="Arial"/>
          <w:color w:val="2A2A2A"/>
          <w:sz w:val="28"/>
          <w:szCs w:val="28"/>
          <w:shd w:val="clear" w:color="auto" w:fill="FFFFFF"/>
        </w:rPr>
        <w:t xml:space="preserve">En un momento en el que hay quienes airean indicadores macroeconómicos de recuperación, sin mencionar los indicadores de la economía real </w:t>
      </w:r>
      <w:r w:rsidR="001F7794">
        <w:rPr>
          <w:rFonts w:cs="Arial"/>
          <w:color w:val="2A2A2A"/>
          <w:sz w:val="28"/>
          <w:szCs w:val="28"/>
          <w:shd w:val="clear" w:color="auto" w:fill="FFFFFF"/>
        </w:rPr>
        <w:t>ni</w:t>
      </w:r>
      <w:bookmarkStart w:id="0" w:name="_GoBack"/>
      <w:bookmarkEnd w:id="0"/>
      <w:r>
        <w:rPr>
          <w:rFonts w:cs="Arial"/>
          <w:color w:val="2A2A2A"/>
          <w:sz w:val="28"/>
          <w:szCs w:val="28"/>
          <w:shd w:val="clear" w:color="auto" w:fill="FFFFFF"/>
        </w:rPr>
        <w:t xml:space="preserve"> los indicadores sociales, es importante constatar que la existencia de un sector público que se guía por el principio de universalidad y que parte de una definición inclusiva de ciudadanía es parte de la garantía de elevados niveles de cohesión social.  No se trata de la panacea, puesto que va a ser necesario diseñar instrumentos de cohesión social que sean todavía más efectivos en el logro de la igualdad social, instrumentos que necesariamente, tendrán que venir de la mano </w:t>
      </w:r>
      <w:r>
        <w:rPr>
          <w:rFonts w:cs="Arial"/>
          <w:color w:val="2A2A2A"/>
          <w:sz w:val="28"/>
          <w:szCs w:val="28"/>
          <w:shd w:val="clear" w:color="auto" w:fill="FFFFFF"/>
        </w:rPr>
        <w:lastRenderedPageBreak/>
        <w:t xml:space="preserve">de reformas de carácter fiscal de marcado carácter redistributivo y corrector. </w:t>
      </w:r>
    </w:p>
    <w:p w:rsidR="00246B35" w:rsidRDefault="00246B35" w:rsidP="00A77CA9">
      <w:pPr>
        <w:spacing w:after="0"/>
        <w:rPr>
          <w:rFonts w:cs="Arial"/>
          <w:color w:val="2A2A2A"/>
          <w:sz w:val="28"/>
          <w:szCs w:val="28"/>
          <w:shd w:val="clear" w:color="auto" w:fill="FFFFFF"/>
        </w:rPr>
      </w:pPr>
    </w:p>
    <w:p w:rsidR="00246B35" w:rsidRDefault="00246B35" w:rsidP="00A77CA9">
      <w:pPr>
        <w:spacing w:after="0"/>
        <w:rPr>
          <w:rFonts w:cs="Arial"/>
          <w:color w:val="2A2A2A"/>
          <w:sz w:val="28"/>
          <w:szCs w:val="28"/>
          <w:shd w:val="clear" w:color="auto" w:fill="FFFFFF"/>
        </w:rPr>
      </w:pPr>
      <w:r>
        <w:rPr>
          <w:rFonts w:cs="Arial"/>
          <w:color w:val="2A2A2A"/>
          <w:sz w:val="28"/>
          <w:szCs w:val="28"/>
          <w:shd w:val="clear" w:color="auto" w:fill="FFFFFF"/>
        </w:rPr>
        <w:t xml:space="preserve">En suma, si algo ha constatado la crisis es que los Estados de Bienestar más desarrollados, con mayor gasto social por PIB, mayor principio de universalidad y mayor presión fiscal han sido más resistentes a los efectos sociales de la crisis, ya que han garantizado mayores niveles de cohesión social. </w:t>
      </w:r>
    </w:p>
    <w:p w:rsidR="00246B35" w:rsidRDefault="00246B35" w:rsidP="00A77CA9">
      <w:pPr>
        <w:spacing w:after="0"/>
        <w:rPr>
          <w:rFonts w:cs="Arial"/>
          <w:color w:val="2A2A2A"/>
          <w:sz w:val="28"/>
          <w:szCs w:val="28"/>
          <w:shd w:val="clear" w:color="auto" w:fill="FFFFFF"/>
        </w:rPr>
      </w:pPr>
    </w:p>
    <w:p w:rsidR="00246B35" w:rsidRDefault="00246B35" w:rsidP="00A77CA9">
      <w:pPr>
        <w:spacing w:after="0"/>
        <w:rPr>
          <w:rFonts w:cs="Arial"/>
          <w:color w:val="2A2A2A"/>
          <w:sz w:val="28"/>
          <w:szCs w:val="28"/>
          <w:shd w:val="clear" w:color="auto" w:fill="FFFFFF"/>
        </w:rPr>
      </w:pPr>
      <w:r>
        <w:rPr>
          <w:rFonts w:cs="Arial"/>
          <w:color w:val="2A2A2A"/>
          <w:sz w:val="28"/>
          <w:szCs w:val="28"/>
          <w:shd w:val="clear" w:color="auto" w:fill="FFFFFF"/>
        </w:rPr>
        <w:t>¿Se han preguntado qué habría ocurrido si no hubiera habido RGI? Es difícil aventurar hipótesis sobre situaciones ficticias, pero una cosa sí podemos concluir: sin la RGI las mujeres vascas serían más pobres y vivirían situaciones de penuria y de mayor riesgo de exclusión. No olvidemos que en Euskadi, en 201</w:t>
      </w:r>
      <w:r w:rsidR="001F7794">
        <w:rPr>
          <w:rFonts w:cs="Arial"/>
          <w:color w:val="2A2A2A"/>
          <w:sz w:val="28"/>
          <w:szCs w:val="28"/>
          <w:shd w:val="clear" w:color="auto" w:fill="FFFFFF"/>
        </w:rPr>
        <w:t>2</w:t>
      </w:r>
      <w:r>
        <w:rPr>
          <w:rFonts w:cs="Arial"/>
          <w:color w:val="2A2A2A"/>
          <w:sz w:val="28"/>
          <w:szCs w:val="28"/>
          <w:shd w:val="clear" w:color="auto" w:fill="FFFFFF"/>
        </w:rPr>
        <w:t>, el 82</w:t>
      </w:r>
      <w:r w:rsidR="003234E1">
        <w:rPr>
          <w:rFonts w:cs="Arial"/>
          <w:color w:val="2A2A2A"/>
          <w:sz w:val="28"/>
          <w:szCs w:val="28"/>
          <w:shd w:val="clear" w:color="auto" w:fill="FFFFFF"/>
        </w:rPr>
        <w:t>,9</w:t>
      </w:r>
      <w:r>
        <w:rPr>
          <w:rFonts w:cs="Arial"/>
          <w:color w:val="2A2A2A"/>
          <w:sz w:val="28"/>
          <w:szCs w:val="28"/>
          <w:shd w:val="clear" w:color="auto" w:fill="FFFFFF"/>
        </w:rPr>
        <w:t xml:space="preserve">% de las personas en riesgo de </w:t>
      </w:r>
      <w:r w:rsidR="003234E1">
        <w:rPr>
          <w:rFonts w:cs="Arial"/>
          <w:color w:val="2A2A2A"/>
          <w:sz w:val="28"/>
          <w:szCs w:val="28"/>
          <w:shd w:val="clear" w:color="auto" w:fill="FFFFFF"/>
        </w:rPr>
        <w:t xml:space="preserve">pobreza y </w:t>
      </w:r>
      <w:r>
        <w:rPr>
          <w:rFonts w:cs="Arial"/>
          <w:color w:val="2A2A2A"/>
          <w:sz w:val="28"/>
          <w:szCs w:val="28"/>
          <w:shd w:val="clear" w:color="auto" w:fill="FFFFFF"/>
        </w:rPr>
        <w:t>exclusión eran mujeres (</w:t>
      </w:r>
      <w:proofErr w:type="spellStart"/>
      <w:r>
        <w:rPr>
          <w:rFonts w:cs="Arial"/>
          <w:color w:val="2A2A2A"/>
          <w:sz w:val="28"/>
          <w:szCs w:val="28"/>
          <w:shd w:val="clear" w:color="auto" w:fill="FFFFFF"/>
        </w:rPr>
        <w:t>Emakunde</w:t>
      </w:r>
      <w:proofErr w:type="spellEnd"/>
      <w:r>
        <w:rPr>
          <w:rFonts w:cs="Arial"/>
          <w:color w:val="2A2A2A"/>
          <w:sz w:val="28"/>
          <w:szCs w:val="28"/>
          <w:shd w:val="clear" w:color="auto" w:fill="FFFFFF"/>
        </w:rPr>
        <w:t>: 201</w:t>
      </w:r>
      <w:r w:rsidR="003234E1">
        <w:rPr>
          <w:rFonts w:cs="Arial"/>
          <w:color w:val="2A2A2A"/>
          <w:sz w:val="28"/>
          <w:szCs w:val="28"/>
          <w:shd w:val="clear" w:color="auto" w:fill="FFFFFF"/>
        </w:rPr>
        <w:t>2</w:t>
      </w:r>
      <w:r>
        <w:rPr>
          <w:rFonts w:cs="Arial"/>
          <w:color w:val="2A2A2A"/>
          <w:sz w:val="28"/>
          <w:szCs w:val="28"/>
          <w:shd w:val="clear" w:color="auto" w:fill="FFFFFF"/>
        </w:rPr>
        <w:t>)</w:t>
      </w:r>
      <w:r w:rsidR="003234E1">
        <w:rPr>
          <w:rFonts w:cs="Arial"/>
          <w:color w:val="2A2A2A"/>
          <w:sz w:val="28"/>
          <w:szCs w:val="28"/>
          <w:shd w:val="clear" w:color="auto" w:fill="FFFFFF"/>
        </w:rPr>
        <w:t>.</w:t>
      </w:r>
    </w:p>
    <w:p w:rsidR="00FF1DC5" w:rsidRDefault="00FF1DC5" w:rsidP="00A77CA9">
      <w:pPr>
        <w:spacing w:after="0"/>
        <w:rPr>
          <w:rFonts w:cs="Arial"/>
          <w:color w:val="2A2A2A"/>
          <w:sz w:val="28"/>
          <w:szCs w:val="28"/>
          <w:shd w:val="clear" w:color="auto" w:fill="FFFFFF"/>
        </w:rPr>
      </w:pPr>
    </w:p>
    <w:p w:rsidR="00FF1DC5" w:rsidRDefault="00FF1DC5" w:rsidP="00A77CA9">
      <w:pPr>
        <w:spacing w:after="0"/>
        <w:rPr>
          <w:rFonts w:cs="Arial"/>
          <w:color w:val="2A2A2A"/>
          <w:sz w:val="28"/>
          <w:szCs w:val="28"/>
          <w:shd w:val="clear" w:color="auto" w:fill="FFFFFF"/>
        </w:rPr>
      </w:pPr>
    </w:p>
    <w:p w:rsidR="00605611" w:rsidRPr="00605611" w:rsidRDefault="00605611" w:rsidP="00A77CA9">
      <w:pPr>
        <w:spacing w:after="0"/>
        <w:rPr>
          <w:sz w:val="28"/>
          <w:szCs w:val="28"/>
        </w:rPr>
      </w:pPr>
    </w:p>
    <w:sectPr w:rsidR="00605611" w:rsidRPr="00605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C008C"/>
    <w:multiLevelType w:val="multilevel"/>
    <w:tmpl w:val="F21CB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4FE2DF2"/>
    <w:multiLevelType w:val="multilevel"/>
    <w:tmpl w:val="BE708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09"/>
    <w:rsid w:val="00050D68"/>
    <w:rsid w:val="001F7794"/>
    <w:rsid w:val="00246B35"/>
    <w:rsid w:val="00282109"/>
    <w:rsid w:val="00322B45"/>
    <w:rsid w:val="003234E1"/>
    <w:rsid w:val="004625FA"/>
    <w:rsid w:val="00466298"/>
    <w:rsid w:val="005017D8"/>
    <w:rsid w:val="00533DBB"/>
    <w:rsid w:val="00605611"/>
    <w:rsid w:val="006B1933"/>
    <w:rsid w:val="006B2854"/>
    <w:rsid w:val="008126C3"/>
    <w:rsid w:val="008243CE"/>
    <w:rsid w:val="00865F23"/>
    <w:rsid w:val="008A121D"/>
    <w:rsid w:val="00A77CA9"/>
    <w:rsid w:val="00A87920"/>
    <w:rsid w:val="00B57F48"/>
    <w:rsid w:val="00E43274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10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5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10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540C-943F-4C69-82AE-4AF44DED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Silvestre</dc:creator>
  <cp:lastModifiedBy>Maria Silvestre</cp:lastModifiedBy>
  <cp:revision>2</cp:revision>
  <dcterms:created xsi:type="dcterms:W3CDTF">2015-04-20T19:56:00Z</dcterms:created>
  <dcterms:modified xsi:type="dcterms:W3CDTF">2015-04-20T19:56:00Z</dcterms:modified>
</cp:coreProperties>
</file>